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Theme="minorEastAsia"/>
          <w:i w:val="0"/>
          <w:iCs/>
          <w:sz w:val="24"/>
          <w:lang w:val="en-US" w:eastAsia="zh-CN"/>
        </w:rPr>
      </w:pPr>
      <w:r>
        <w:rPr>
          <w:rFonts w:hint="eastAsia" w:ascii="Times New Roman" w:hAnsi="Times New Roman"/>
          <w:i w:val="0"/>
          <w:iCs/>
          <w:sz w:val="24"/>
          <w:lang w:val="en-US" w:eastAsia="zh-CN"/>
        </w:rPr>
        <w:t>Graphical abstract:</w:t>
      </w:r>
    </w:p>
    <w:p>
      <w:pPr>
        <w:rPr>
          <w:rFonts w:hint="default" w:eastAsiaTheme="minorEastAsia"/>
          <w:lang w:val="en-US" w:eastAsia="zh-CN"/>
        </w:rPr>
      </w:pPr>
      <w:r>
        <w:rPr>
          <w:rFonts w:ascii="Times New Roman" w:hAnsi="Times New Roman"/>
          <w:i/>
          <w:sz w:val="24"/>
        </w:rPr>
        <w:t>Ae</w:t>
      </w:r>
      <w:r>
        <w:rPr>
          <w:rFonts w:hint="eastAsia" w:ascii="Times New Roman" w:hAnsi="Times New Roman"/>
          <w:i/>
          <w:sz w:val="24"/>
          <w:lang w:val="en-US" w:eastAsia="zh-CN"/>
        </w:rPr>
        <w:t>des</w:t>
      </w:r>
      <w:r>
        <w:rPr>
          <w:rFonts w:ascii="Times New Roman" w:hAnsi="Times New Roman"/>
          <w:i/>
          <w:sz w:val="24"/>
        </w:rPr>
        <w:t xml:space="preserve"> albopictus</w:t>
      </w:r>
      <w:r>
        <w:rPr>
          <w:rFonts w:ascii="Times New Roman" w:hAnsi="Times New Roman"/>
          <w:sz w:val="24"/>
        </w:rPr>
        <w:t xml:space="preserve"> populations in southern China</w:t>
      </w:r>
      <w:r>
        <w:rPr>
          <w:rFonts w:hint="eastAsia" w:ascii="Times New Roman" w:hAnsi="Times New Roman"/>
          <w:sz w:val="24"/>
          <w:lang w:val="en-US" w:eastAsia="zh-CN"/>
        </w:rPr>
        <w:t xml:space="preserve"> (GZ, ZJ, LS)</w:t>
      </w:r>
      <w:r>
        <w:rPr>
          <w:rFonts w:ascii="Times New Roman" w:hAnsi="Times New Roman"/>
          <w:sz w:val="24"/>
        </w:rPr>
        <w:t xml:space="preserve"> were clustered</w:t>
      </w:r>
      <w:r>
        <w:rPr>
          <w:rFonts w:hint="eastAsia" w:ascii="Times New Roman" w:hAnsi="Times New Roman"/>
          <w:sz w:val="24"/>
          <w:lang w:val="en-US" w:eastAsia="zh-CN"/>
        </w:rPr>
        <w:t xml:space="preserve"> </w:t>
      </w:r>
      <w:r>
        <w:rPr>
          <w:rFonts w:ascii="Times New Roman" w:hAnsi="Times New Roman"/>
          <w:sz w:val="24"/>
        </w:rPr>
        <w:t xml:space="preserve">from </w:t>
      </w:r>
      <w:r>
        <w:rPr>
          <w:rFonts w:ascii="Times New Roman" w:hAnsi="Times New Roman"/>
          <w:i/>
          <w:iCs/>
          <w:sz w:val="24"/>
        </w:rPr>
        <w:t>cox</w:t>
      </w:r>
      <w:r>
        <w:rPr>
          <w:rFonts w:ascii="Times New Roman" w:hAnsi="Times New Roman"/>
          <w:sz w:val="24"/>
        </w:rPr>
        <w:t>1 analysis.</w:t>
      </w:r>
      <w:r>
        <w:rPr>
          <w:rFonts w:hint="eastAsia" w:ascii="Times New Roman" w:hAnsi="Times New Roman"/>
          <w:sz w:val="24"/>
          <w:lang w:val="en-US" w:eastAsia="zh-CN"/>
        </w:rPr>
        <w:t xml:space="preserve"> They </w:t>
      </w:r>
      <w:r>
        <w:rPr>
          <w:rFonts w:ascii="Times New Roman" w:hAnsi="Times New Roman"/>
          <w:sz w:val="24"/>
        </w:rPr>
        <w:t>had the low</w:t>
      </w:r>
      <w:r>
        <w:rPr>
          <w:rFonts w:hint="eastAsia" w:ascii="Times New Roman" w:hAnsi="Times New Roman"/>
          <w:sz w:val="24"/>
          <w:lang w:val="en-US" w:eastAsia="zh-CN"/>
        </w:rPr>
        <w:t>er</w:t>
      </w:r>
      <w:r>
        <w:rPr>
          <w:rFonts w:ascii="Times New Roman" w:hAnsi="Times New Roman"/>
          <w:sz w:val="24"/>
        </w:rPr>
        <w:t xml:space="preserve"> DENV-2 loads</w:t>
      </w:r>
      <w:r>
        <w:rPr>
          <w:rFonts w:hint="eastAsia" w:ascii="Times New Roman" w:hAnsi="Times New Roman"/>
          <w:sz w:val="24"/>
          <w:lang w:val="en-US" w:eastAsia="zh-CN"/>
        </w:rPr>
        <w:t xml:space="preserve"> for vector competence than other populations </w:t>
      </w:r>
      <w:r>
        <w:rPr>
          <w:rFonts w:ascii="Times New Roman" w:hAnsi="Times New Roman"/>
          <w:sz w:val="24"/>
        </w:rPr>
        <w:t>generall</w:t>
      </w:r>
      <w:r>
        <w:rPr>
          <w:rFonts w:hint="eastAsia" w:ascii="Times New Roman" w:hAnsi="Times New Roman"/>
          <w:sz w:val="24"/>
          <w:lang w:val="en-US" w:eastAsia="zh-CN"/>
        </w:rPr>
        <w:t>y</w:t>
      </w:r>
      <w:r>
        <w:rPr>
          <w:rFonts w:hint="eastAsia" w:ascii="Times New Roman" w:hAnsi="Times New Roman"/>
          <w:sz w:val="24"/>
          <w:lang w:val="en-US" w:eastAsia="zh-CN"/>
        </w:rPr>
        <w:t xml:space="preserve"> (bar charts at the bottom</w:t>
      </w:r>
      <w:r>
        <w:rPr>
          <w:rFonts w:hint="eastAsia" w:ascii="Times New Roman" w:hAnsi="Times New Roman"/>
          <w:sz w:val="24"/>
          <w:lang w:val="en-US" w:eastAsia="zh-CN"/>
        </w:rPr>
        <w:t>). Though there was no significant correlation between vector competence and the genetic indices of each population from cox1 analysis</w:t>
      </w:r>
      <w:r>
        <w:rPr>
          <w:rFonts w:hint="eastAsia" w:ascii="Times New Roman" w:hAnsi="Times New Roman"/>
          <w:sz w:val="24"/>
          <w:lang w:val="en-US" w:eastAsia="zh-CN"/>
        </w:rPr>
        <w:t>, the genetic st</w:t>
      </w:r>
      <w:r>
        <w:rPr>
          <w:rFonts w:ascii="Times New Roman" w:hAnsi="Times New Roman"/>
          <w:sz w:val="24"/>
        </w:rPr>
        <w:t xml:space="preserve">ructure and vector competence of </w:t>
      </w:r>
      <w:r>
        <w:rPr>
          <w:rFonts w:ascii="Times New Roman" w:hAnsi="Times New Roman"/>
          <w:i/>
          <w:sz w:val="24"/>
        </w:rPr>
        <w:t>Ae</w:t>
      </w:r>
      <w:r>
        <w:rPr>
          <w:rFonts w:hint="eastAsia" w:ascii="Times New Roman" w:hAnsi="Times New Roman"/>
          <w:i/>
          <w:sz w:val="24"/>
          <w:lang w:val="en-US" w:eastAsia="zh-CN"/>
        </w:rPr>
        <w:t>des</w:t>
      </w:r>
      <w:r>
        <w:rPr>
          <w:rFonts w:ascii="Times New Roman" w:hAnsi="Times New Roman"/>
          <w:i/>
          <w:sz w:val="24"/>
        </w:rPr>
        <w:t xml:space="preserve"> albopictus</w:t>
      </w:r>
      <w:r>
        <w:rPr>
          <w:rFonts w:ascii="Times New Roman" w:hAnsi="Times New Roman"/>
          <w:sz w:val="24"/>
        </w:rPr>
        <w:t xml:space="preserve"> populations may have implications for understanding the epidemiology, prevention and control of vector-borne diseases.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74335" cy="4635500"/>
            <wp:effectExtent l="0" t="0" r="12065" b="12700"/>
            <wp:docPr id="2" name="图片 2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D4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wei20</dc:creator>
  <cp:lastModifiedBy>远欢</cp:lastModifiedBy>
  <dcterms:modified xsi:type="dcterms:W3CDTF">2020-03-19T05:19:22Z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